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266B0C" w:rsidRPr="002E409C" w:rsidRDefault="002E409C" w:rsidP="007E0B15">
      <w:pPr>
        <w:jc w:val="center"/>
        <w:rPr>
          <w:b/>
          <w:bCs/>
          <w:color w:val="000000"/>
        </w:rPr>
      </w:pPr>
      <w:r w:rsidRPr="002E409C">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2E409C">
        <w:rPr>
          <w:b/>
          <w:bCs/>
          <w:color w:val="000000"/>
        </w:rPr>
        <w:t>«Парковая зона», расположенная по адресу: Республика Крым, р-н Красноперепопский, с. Орловка, ул. Садовая, 33.</w:t>
      </w:r>
    </w:p>
    <w:p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1D4801" w:rsidRPr="001D4801">
        <w:rPr>
          <w:b/>
          <w:color w:val="000000" w:themeColor="text1"/>
        </w:rPr>
        <w:t>________________________</w:t>
      </w:r>
      <w:r w:rsidR="00C1426B" w:rsidRPr="00D850A1">
        <w:rPr>
          <w:color w:val="000000" w:themeColor="text1"/>
        </w:rPr>
        <w:t>, 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1D4801">
        <w:rPr>
          <w:color w:val="000000" w:themeColor="text1"/>
        </w:rPr>
        <w:t>________________________</w:t>
      </w:r>
      <w:r w:rsidR="00C1426B"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2E409C" w:rsidRDefault="00B33ACD" w:rsidP="002E409C">
      <w:pPr>
        <w:ind w:firstLine="709"/>
        <w:jc w:val="both"/>
        <w:rPr>
          <w:b/>
          <w:bCs/>
          <w:color w:val="000000"/>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2E409C">
        <w:t>в</w:t>
      </w:r>
      <w:r w:rsidR="002E409C" w:rsidRPr="002E409C">
        <w:t xml:space="preserve">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002E409C" w:rsidRPr="002E409C">
        <w:rPr>
          <w:bCs/>
          <w:color w:val="000000"/>
        </w:rPr>
        <w:t>«Парковая зона», расположенная по адресу: Республика Крым, р-н Красноперепопский, с. Орловка, ул.</w:t>
      </w:r>
      <w:r w:rsidR="002E409C">
        <w:rPr>
          <w:bCs/>
          <w:color w:val="000000"/>
        </w:rPr>
        <w:t xml:space="preserve"> Садовая, 33</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C1426B">
        <w:rPr>
          <w:rFonts w:eastAsia="Calibri"/>
        </w:rPr>
        <w:t xml:space="preserve">у), и на условиях </w:t>
      </w:r>
      <w:r w:rsidRPr="00D850A1">
        <w:rPr>
          <w:rFonts w:eastAsia="Calibri"/>
        </w:rPr>
        <w:t xml:space="preserve">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2E409C" w:rsidRDefault="00B33ACD" w:rsidP="002E409C">
      <w:pPr>
        <w:pStyle w:val="af2"/>
        <w:numPr>
          <w:ilvl w:val="1"/>
          <w:numId w:val="17"/>
        </w:numPr>
        <w:ind w:left="0" w:firstLine="709"/>
        <w:jc w:val="both"/>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8240AD">
        <w:rPr>
          <w:rFonts w:ascii="Times New Roman" w:hAnsi="Times New Roman"/>
          <w:b/>
          <w:i/>
          <w:sz w:val="24"/>
          <w:szCs w:val="24"/>
          <w:lang w:eastAsia="ru-RU"/>
        </w:rPr>
        <w:t>___________________</w:t>
      </w:r>
      <w:r w:rsidR="002E409C">
        <w:rPr>
          <w:rFonts w:ascii="Times New Roman" w:hAnsi="Times New Roman"/>
          <w:b/>
          <w:i/>
          <w:sz w:val="24"/>
          <w:szCs w:val="24"/>
          <w:lang w:eastAsia="ru-RU"/>
        </w:rPr>
        <w:t xml:space="preserve"> </w:t>
      </w:r>
      <w:r w:rsidR="002E409C" w:rsidRPr="00C020B0">
        <w:rPr>
          <w:rFonts w:ascii="Times New Roman" w:eastAsia="Arial" w:hAnsi="Times New Roman"/>
          <w:b/>
          <w:i/>
          <w:spacing w:val="1"/>
          <w:sz w:val="24"/>
          <w:szCs w:val="24"/>
        </w:rPr>
        <w:t>руб.</w:t>
      </w:r>
      <w:r w:rsidR="002E409C" w:rsidRPr="00C020B0">
        <w:rPr>
          <w:rFonts w:ascii="Times New Roman" w:eastAsia="Arial" w:hAnsi="Times New Roman"/>
          <w:spacing w:val="1"/>
          <w:sz w:val="24"/>
          <w:szCs w:val="24"/>
        </w:rPr>
        <w:t xml:space="preserve"> </w:t>
      </w:r>
      <w:r w:rsidR="002E409C" w:rsidRPr="009D6D44">
        <w:rPr>
          <w:rFonts w:ascii="Times New Roman" w:eastAsia="Arial" w:hAnsi="Times New Roman"/>
          <w:b/>
          <w:i/>
          <w:spacing w:val="1"/>
          <w:sz w:val="24"/>
          <w:szCs w:val="24"/>
        </w:rPr>
        <w:t>(</w:t>
      </w:r>
      <w:r w:rsidR="008240AD">
        <w:rPr>
          <w:rFonts w:ascii="Times New Roman" w:hAnsi="Times New Roman"/>
          <w:b/>
          <w:i/>
          <w:sz w:val="24"/>
          <w:szCs w:val="24"/>
        </w:rPr>
        <w:t>___________________________</w:t>
      </w:r>
      <w:r w:rsidR="002E409C">
        <w:rPr>
          <w:rFonts w:ascii="Times New Roman" w:hAnsi="Times New Roman"/>
          <w:b/>
          <w:i/>
          <w:sz w:val="24"/>
          <w:szCs w:val="24"/>
        </w:rPr>
        <w:t xml:space="preserve">), </w:t>
      </w:r>
      <w:r w:rsidR="002E409C" w:rsidRPr="002E409C">
        <w:rPr>
          <w:rFonts w:ascii="Times New Roman" w:hAnsi="Times New Roman"/>
          <w:i/>
          <w:sz w:val="24"/>
          <w:szCs w:val="24"/>
        </w:rPr>
        <w:t>в том числе НДС 22%, в сумме</w:t>
      </w:r>
      <w:r w:rsidR="002E409C" w:rsidRPr="002E409C">
        <w:rPr>
          <w:i/>
        </w:rPr>
        <w:t xml:space="preserve"> </w:t>
      </w:r>
      <w:r w:rsidR="008240AD">
        <w:rPr>
          <w:rFonts w:ascii="Times New Roman" w:hAnsi="Times New Roman"/>
          <w:b/>
          <w:i/>
          <w:sz w:val="24"/>
          <w:szCs w:val="24"/>
          <w:lang w:eastAsia="ru-RU"/>
        </w:rPr>
        <w:t>__________________</w:t>
      </w:r>
      <w:r w:rsidR="002E409C">
        <w:rPr>
          <w:rFonts w:ascii="Times New Roman" w:hAnsi="Times New Roman"/>
          <w:b/>
          <w:i/>
          <w:sz w:val="24"/>
          <w:szCs w:val="24"/>
          <w:lang w:eastAsia="ru-RU"/>
        </w:rPr>
        <w:t xml:space="preserve"> </w:t>
      </w:r>
      <w:r w:rsidR="00D850A1" w:rsidRPr="002E409C">
        <w:rPr>
          <w:rFonts w:ascii="Times New Roman" w:eastAsia="Arial" w:hAnsi="Times New Roman"/>
          <w:b/>
          <w:i/>
          <w:spacing w:val="1"/>
          <w:sz w:val="24"/>
          <w:szCs w:val="24"/>
        </w:rPr>
        <w:t>руб.</w:t>
      </w:r>
      <w:r w:rsidR="00D850A1" w:rsidRPr="002E409C">
        <w:rPr>
          <w:rFonts w:ascii="Times New Roman" w:eastAsia="Arial" w:hAnsi="Times New Roman"/>
          <w:spacing w:val="1"/>
          <w:sz w:val="24"/>
          <w:szCs w:val="24"/>
        </w:rPr>
        <w:t xml:space="preserve"> </w:t>
      </w:r>
      <w:r w:rsidR="00D850A1" w:rsidRPr="002E409C">
        <w:rPr>
          <w:rFonts w:ascii="Times New Roman" w:eastAsia="Arial" w:hAnsi="Times New Roman"/>
          <w:b/>
          <w:i/>
          <w:spacing w:val="1"/>
          <w:sz w:val="24"/>
          <w:szCs w:val="24"/>
        </w:rPr>
        <w:t>(</w:t>
      </w:r>
      <w:r w:rsidR="008240AD">
        <w:rPr>
          <w:rFonts w:ascii="Times New Roman" w:hAnsi="Times New Roman"/>
          <w:b/>
          <w:i/>
          <w:sz w:val="24"/>
          <w:szCs w:val="24"/>
        </w:rPr>
        <w:t>________________________________</w:t>
      </w:r>
      <w:r w:rsidR="0068445D" w:rsidRPr="002E409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lastRenderedPageBreak/>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Pr="002A4FE6">
        <w:rPr>
          <w:rFonts w:ascii="Times New Roman" w:hAnsi="Times New Roman"/>
          <w:b/>
          <w:i/>
          <w:sz w:val="24"/>
          <w:szCs w:val="24"/>
        </w:rPr>
        <w:t>«</w:t>
      </w:r>
      <w:r w:rsidR="002E409C">
        <w:rPr>
          <w:rFonts w:ascii="Times New Roman" w:hAnsi="Times New Roman"/>
          <w:b/>
          <w:i/>
          <w:sz w:val="24"/>
          <w:szCs w:val="24"/>
        </w:rPr>
        <w:t>20</w:t>
      </w:r>
      <w:r w:rsidRPr="002A4FE6">
        <w:rPr>
          <w:rFonts w:ascii="Times New Roman" w:hAnsi="Times New Roman"/>
          <w:b/>
          <w:i/>
          <w:sz w:val="24"/>
          <w:szCs w:val="24"/>
        </w:rPr>
        <w:t xml:space="preserve">» </w:t>
      </w:r>
      <w:r w:rsidR="008240AD">
        <w:rPr>
          <w:rFonts w:ascii="Times New Roman" w:hAnsi="Times New Roman"/>
          <w:b/>
          <w:i/>
          <w:sz w:val="24"/>
          <w:szCs w:val="24"/>
        </w:rPr>
        <w:t>арееля</w:t>
      </w:r>
      <w:r w:rsidR="002E409C">
        <w:rPr>
          <w:rFonts w:ascii="Times New Roman" w:hAnsi="Times New Roman"/>
          <w:b/>
          <w:i/>
          <w:sz w:val="24"/>
          <w:szCs w:val="24"/>
        </w:rPr>
        <w:t xml:space="preserve"> 2026</w:t>
      </w:r>
      <w:r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sz w:val="24"/>
          <w:szCs w:val="24"/>
        </w:rPr>
        <w:t>Место выполнения работ</w:t>
      </w:r>
      <w:r w:rsidRPr="00722967">
        <w:rPr>
          <w:rFonts w:ascii="Times New Roman" w:hAnsi="Times New Roman"/>
          <w:sz w:val="24"/>
          <w:szCs w:val="24"/>
          <w:lang w:eastAsia="ru-RU"/>
        </w:rPr>
        <w:t xml:space="preserve">: </w:t>
      </w:r>
      <w:r w:rsidRPr="00722967">
        <w:rPr>
          <w:rFonts w:ascii="Times New Roman" w:hAnsi="Times New Roman"/>
          <w:sz w:val="24"/>
          <w:szCs w:val="24"/>
        </w:rPr>
        <w:t>в зоне э</w:t>
      </w:r>
      <w:r w:rsidR="00722967" w:rsidRPr="00722967">
        <w:rPr>
          <w:rFonts w:ascii="Times New Roman" w:hAnsi="Times New Roman"/>
          <w:sz w:val="24"/>
          <w:szCs w:val="24"/>
        </w:rPr>
        <w:t xml:space="preserve">ксплуатационной ответственности </w:t>
      </w:r>
      <w:r w:rsidR="002E409C">
        <w:rPr>
          <w:rFonts w:ascii="Times New Roman" w:hAnsi="Times New Roman"/>
        </w:rPr>
        <w:t>Красноперекопского филиала.</w:t>
      </w:r>
    </w:p>
    <w:p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color w:val="000000"/>
          <w:sz w:val="24"/>
          <w:szCs w:val="24"/>
        </w:rPr>
        <w:t>Исполнитель выполняет работы в</w:t>
      </w:r>
      <w:r w:rsidRPr="00722967">
        <w:rPr>
          <w:rFonts w:ascii="Times New Roman" w:hAnsi="Times New Roman"/>
          <w:sz w:val="24"/>
          <w:szCs w:val="24"/>
        </w:rPr>
        <w:t xml:space="preserve"> соответствии с Техническим заданием (приложение № 1 к </w:t>
      </w:r>
      <w:r w:rsidR="007E0B15" w:rsidRPr="00722967">
        <w:rPr>
          <w:rFonts w:ascii="Times New Roman" w:hAnsi="Times New Roman"/>
          <w:sz w:val="24"/>
          <w:szCs w:val="24"/>
        </w:rPr>
        <w:t>Договор</w:t>
      </w:r>
      <w:r w:rsidRPr="00722967">
        <w:rPr>
          <w:rFonts w:ascii="Times New Roman" w:hAnsi="Times New Roman"/>
          <w:sz w:val="24"/>
          <w:szCs w:val="24"/>
        </w:rPr>
        <w:t xml:space="preserve">у),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lastRenderedPageBreak/>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0" w:name="Par773"/>
      <w:bookmarkEnd w:id="0"/>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w:t>
      </w:r>
      <w:r w:rsidRPr="00D850A1">
        <w:rPr>
          <w:rFonts w:ascii="Times New Roman" w:hAnsi="Times New Roman"/>
          <w:color w:val="000000"/>
          <w:sz w:val="24"/>
          <w:szCs w:val="24"/>
        </w:rPr>
        <w:lastRenderedPageBreak/>
        <w:t xml:space="preserve">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w:t>
      </w:r>
      <w:r w:rsidRPr="00D850A1">
        <w:rPr>
          <w:rFonts w:ascii="Times New Roman" w:hAnsi="Times New Roman"/>
          <w:color w:val="000000"/>
          <w:sz w:val="24"/>
          <w:szCs w:val="24"/>
        </w:rPr>
        <w:lastRenderedPageBreak/>
        <w:t xml:space="preserve">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333FAE" w:rsidRPr="009D6D44" w:rsidRDefault="00B33ACD" w:rsidP="00333FAE">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w:t>
      </w:r>
      <w:r w:rsidRPr="00D850A1">
        <w:rPr>
          <w:color w:val="222222"/>
          <w:lang w:eastAsia="ru-RU"/>
        </w:rPr>
        <w:lastRenderedPageBreak/>
        <w:t xml:space="preserve">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8240AD">
        <w:rPr>
          <w:b/>
          <w:i/>
          <w:color w:val="222222"/>
          <w:lang w:eastAsia="ru-RU"/>
        </w:rPr>
        <w:t>________</w:t>
      </w:r>
      <w:r w:rsidR="002E409C">
        <w:rPr>
          <w:b/>
          <w:i/>
          <w:color w:val="222222"/>
          <w:lang w:eastAsia="ru-RU"/>
        </w:rPr>
        <w:t xml:space="preserve"> </w:t>
      </w:r>
      <w:r w:rsidRPr="00925F45">
        <w:rPr>
          <w:b/>
          <w:i/>
          <w:color w:val="222222"/>
          <w:lang w:eastAsia="ru-RU"/>
        </w:rPr>
        <w:t xml:space="preserve">рублей </w:t>
      </w:r>
      <w:r w:rsidRPr="009D6D44">
        <w:rPr>
          <w:b/>
          <w:i/>
          <w:color w:val="222222"/>
          <w:lang w:eastAsia="ru-RU"/>
        </w:rPr>
        <w:t>(</w:t>
      </w:r>
      <w:r w:rsidR="008240AD">
        <w:rPr>
          <w:b/>
          <w:i/>
        </w:rPr>
        <w:t>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8240AD">
        <w:rPr>
          <w:color w:val="222222"/>
          <w:lang w:eastAsia="ru-RU"/>
        </w:rPr>
        <w:t>_______</w:t>
      </w:r>
      <w:r w:rsidR="00576482" w:rsidRPr="00D850A1">
        <w:rPr>
          <w:b/>
          <w:color w:val="222222"/>
          <w:lang w:eastAsia="ru-RU"/>
        </w:rPr>
        <w:t xml:space="preserve"> (</w:t>
      </w:r>
      <w:r w:rsidR="008240AD">
        <w:rPr>
          <w:b/>
          <w:color w:val="222222"/>
          <w:lang w:eastAsia="ru-RU"/>
        </w:rPr>
        <w:t>________</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8240AD">
        <w:rPr>
          <w:b/>
          <w:color w:val="222222"/>
          <w:lang w:eastAsia="ru-RU"/>
        </w:rPr>
        <w:t>________</w:t>
      </w:r>
      <w:r w:rsidR="00EA68C2" w:rsidRPr="00D850A1">
        <w:rPr>
          <w:b/>
          <w:color w:val="222222"/>
          <w:lang w:eastAsia="ru-RU"/>
        </w:rPr>
        <w:t xml:space="preserve"> (</w:t>
      </w:r>
      <w:r w:rsidR="008240AD">
        <w:rPr>
          <w:b/>
          <w:color w:val="222222"/>
          <w:lang w:eastAsia="ru-RU"/>
        </w:rPr>
        <w:t>__________</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w:t>
      </w:r>
      <w:r w:rsidRPr="00D850A1">
        <w:rPr>
          <w:color w:val="222222"/>
          <w:lang w:eastAsia="ru-RU"/>
        </w:rPr>
        <w:lastRenderedPageBreak/>
        <w:t xml:space="preserve">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1" w:name="Par837"/>
      <w:bookmarkEnd w:id="1"/>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lastRenderedPageBreak/>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6F5D7A">
        <w:rPr>
          <w:rFonts w:ascii="Times New Roman" w:hAnsi="Times New Roman" w:cs="Times New Roman"/>
          <w:b/>
          <w:i/>
          <w:color w:val="auto"/>
          <w:szCs w:val="24"/>
        </w:rPr>
        <w:t>«</w:t>
      </w:r>
      <w:r w:rsidR="008240AD">
        <w:rPr>
          <w:rFonts w:ascii="Times New Roman" w:hAnsi="Times New Roman" w:cs="Times New Roman"/>
          <w:b/>
          <w:i/>
          <w:color w:val="auto"/>
          <w:szCs w:val="24"/>
        </w:rPr>
        <w:t>30</w:t>
      </w:r>
      <w:bookmarkStart w:id="2" w:name="_GoBack"/>
      <w:bookmarkEnd w:id="2"/>
      <w:r w:rsidRPr="006B210E">
        <w:rPr>
          <w:rFonts w:ascii="Times New Roman" w:hAnsi="Times New Roman" w:cs="Times New Roman"/>
          <w:b/>
          <w:i/>
          <w:color w:val="auto"/>
          <w:szCs w:val="24"/>
        </w:rPr>
        <w:t xml:space="preserve">» </w:t>
      </w:r>
      <w:r w:rsidR="002E409C">
        <w:rPr>
          <w:rFonts w:ascii="Times New Roman" w:hAnsi="Times New Roman" w:cs="Times New Roman"/>
          <w:b/>
          <w:i/>
          <w:color w:val="auto"/>
          <w:szCs w:val="24"/>
        </w:rPr>
        <w:t>апреля 2026</w:t>
      </w:r>
      <w:r w:rsidRPr="006B210E">
        <w:rPr>
          <w:rFonts w:ascii="Times New Roman" w:hAnsi="Times New Roman" w:cs="Times New Roman"/>
          <w:b/>
          <w:i/>
          <w:color w:val="auto"/>
          <w:szCs w:val="24"/>
        </w:rPr>
        <w:t>г.</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w:t>
      </w:r>
      <w:r w:rsidRPr="00D850A1">
        <w:rPr>
          <w:i/>
          <w:lang w:eastAsia="ru-RU"/>
        </w:rPr>
        <w:lastRenderedPageBreak/>
        <w:t xml:space="preserve">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w:t>
      </w:r>
      <w:r w:rsidRPr="00D850A1">
        <w:rPr>
          <w:rFonts w:ascii="Times New Roman" w:eastAsia="Times New Roman" w:hAnsi="Times New Roman"/>
          <w:sz w:val="24"/>
          <w:szCs w:val="24"/>
        </w:rPr>
        <w:lastRenderedPageBreak/>
        <w:t xml:space="preserve">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w:t>
      </w:r>
      <w:r w:rsidRPr="00D850A1">
        <w:lastRenderedPageBreak/>
        <w:t xml:space="preserve">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C020B0" w:rsidRPr="002A4FE6" w:rsidRDefault="00C020B0" w:rsidP="00C020B0">
      <w:pPr>
        <w:widowControl w:val="0"/>
        <w:tabs>
          <w:tab w:val="left" w:pos="709"/>
        </w:tabs>
      </w:pPr>
      <w:r>
        <w:t>Приложение № 2</w:t>
      </w:r>
      <w:r w:rsidRPr="002A4FE6">
        <w:t xml:space="preserve"> «Акт о приемке выполненных работ» (форма).</w:t>
      </w:r>
    </w:p>
    <w:p w:rsidR="00C020B0" w:rsidRPr="002A4FE6" w:rsidRDefault="00C020B0" w:rsidP="00C020B0">
      <w:pPr>
        <w:widowControl w:val="0"/>
        <w:tabs>
          <w:tab w:val="left" w:pos="709"/>
        </w:tabs>
      </w:pPr>
      <w:r>
        <w:t>Приложение № 3</w:t>
      </w:r>
      <w:r w:rsidRPr="002A4FE6">
        <w:t xml:space="preserve"> «Локально-сметный расчет» (форма)</w:t>
      </w:r>
    </w:p>
    <w:p w:rsidR="00333FAE" w:rsidRPr="00D850A1" w:rsidRDefault="00333FAE"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t>ЗАКАЗЧИК:</w:t>
            </w: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6016DB">
            <w:pPr>
              <w:rPr>
                <w:b/>
              </w:rPr>
            </w:pPr>
            <w:r w:rsidRPr="00D850A1">
              <w:rPr>
                <w:b/>
              </w:rPr>
              <w:t>ИСПОЛНИТЕЛЬ:</w:t>
            </w:r>
          </w:p>
          <w:p w:rsidR="00B33ACD" w:rsidRPr="00D850A1" w:rsidRDefault="00B33ACD" w:rsidP="001D4801">
            <w:pPr>
              <w:jc w:val="both"/>
              <w:rPr>
                <w:b/>
              </w:rPr>
            </w:pPr>
          </w:p>
        </w:tc>
      </w:tr>
      <w:tr w:rsidR="00B33ACD" w:rsidRPr="00D850A1" w:rsidTr="007E0B15">
        <w:trPr>
          <w:trHeight w:val="6311"/>
        </w:trPr>
        <w:tc>
          <w:tcPr>
            <w:tcW w:w="5104" w:type="dxa"/>
            <w:shd w:val="clear" w:color="auto" w:fill="auto"/>
          </w:tcPr>
          <w:p w:rsidR="0029241E" w:rsidRPr="008002B8" w:rsidRDefault="0029241E" w:rsidP="0029241E">
            <w:r w:rsidRPr="008002B8">
              <w:t>Место нахождения:</w:t>
            </w:r>
            <w:r w:rsidRPr="008002B8">
              <w:rPr>
                <w:kern w:val="2"/>
              </w:rPr>
              <w:t>295053, Республика Крым, г. Симферополь, ул. Киевская, 1 А</w:t>
            </w:r>
          </w:p>
          <w:p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rsidR="0029241E" w:rsidRPr="008002B8" w:rsidRDefault="0029241E" w:rsidP="0029241E">
            <w:pPr>
              <w:suppressLineNumbers/>
              <w:autoSpaceDE w:val="0"/>
            </w:pPr>
            <w:r w:rsidRPr="008002B8">
              <w:rPr>
                <w:kern w:val="2"/>
              </w:rPr>
              <w:t>г. Симферополь, ул. Киевская, 1 А</w:t>
            </w:r>
          </w:p>
          <w:p w:rsidR="0029241E" w:rsidRPr="008002B8" w:rsidRDefault="0029241E" w:rsidP="0029241E">
            <w:pPr>
              <w:snapToGrid w:val="0"/>
              <w:rPr>
                <w:kern w:val="3"/>
              </w:rPr>
            </w:pPr>
            <w:r w:rsidRPr="008002B8">
              <w:t xml:space="preserve">Телефон/Факс: (3652) 27-10-53 </w:t>
            </w:r>
          </w:p>
          <w:p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29241E" w:rsidRPr="008002B8" w:rsidRDefault="0029241E" w:rsidP="0029241E">
            <w:pPr>
              <w:snapToGrid w:val="0"/>
            </w:pPr>
            <w:r w:rsidRPr="008002B8">
              <w:t xml:space="preserve">ОГРН </w:t>
            </w:r>
            <w:r w:rsidRPr="008002B8">
              <w:rPr>
                <w:kern w:val="2"/>
              </w:rPr>
              <w:t>1149102120947</w:t>
            </w:r>
            <w:r w:rsidRPr="008002B8">
              <w:t xml:space="preserve">  </w:t>
            </w:r>
          </w:p>
          <w:p w:rsidR="0029241E" w:rsidRPr="008002B8" w:rsidRDefault="0029241E" w:rsidP="0029241E">
            <w:pPr>
              <w:snapToGrid w:val="0"/>
            </w:pPr>
            <w:r w:rsidRPr="008002B8">
              <w:t xml:space="preserve">ОКПО 00772458 </w:t>
            </w:r>
          </w:p>
          <w:p w:rsidR="0029241E" w:rsidRPr="008002B8" w:rsidRDefault="0029241E" w:rsidP="0029241E">
            <w:pPr>
              <w:snapToGrid w:val="0"/>
            </w:pPr>
            <w:r w:rsidRPr="00E97DFE">
              <w:rPr>
                <w:kern w:val="2"/>
              </w:rPr>
              <w:t>Банк: Филиал «Центральный» Банка ВТБ (ПАО)</w:t>
            </w:r>
          </w:p>
          <w:p w:rsidR="0029241E" w:rsidRPr="008002B8" w:rsidRDefault="0029241E" w:rsidP="0029241E">
            <w:r w:rsidRPr="008002B8">
              <w:t xml:space="preserve">Р/счет </w:t>
            </w:r>
            <w:r w:rsidRPr="00E97DFE">
              <w:rPr>
                <w:kern w:val="2"/>
              </w:rPr>
              <w:t>40602810022890000006</w:t>
            </w:r>
          </w:p>
          <w:p w:rsidR="0029241E" w:rsidRPr="008002B8" w:rsidRDefault="0029241E" w:rsidP="0029241E">
            <w:r w:rsidRPr="008002B8">
              <w:t xml:space="preserve">Кор/счет </w:t>
            </w:r>
            <w:r w:rsidRPr="00E97DFE">
              <w:rPr>
                <w:kern w:val="2"/>
              </w:rPr>
              <w:t>30101810145250000411</w:t>
            </w:r>
          </w:p>
          <w:p w:rsidR="0029241E" w:rsidRPr="008002B8" w:rsidRDefault="0029241E" w:rsidP="0029241E">
            <w:r w:rsidRPr="008002B8">
              <w:t xml:space="preserve">БИК </w:t>
            </w:r>
            <w:r w:rsidRPr="00E97DFE">
              <w:rPr>
                <w:kern w:val="2"/>
              </w:rPr>
              <w:t>044525411</w:t>
            </w:r>
          </w:p>
          <w:p w:rsidR="00561A42" w:rsidRDefault="00561A42" w:rsidP="00561A42">
            <w:pPr>
              <w:jc w:val="both"/>
            </w:pPr>
          </w:p>
          <w:p w:rsidR="00561A42" w:rsidRDefault="00561A42" w:rsidP="00561A42">
            <w:pPr>
              <w:jc w:val="both"/>
            </w:pPr>
          </w:p>
          <w:p w:rsidR="00561A42" w:rsidRDefault="00561A42" w:rsidP="00561A42">
            <w:pPr>
              <w:jc w:val="both"/>
            </w:pPr>
          </w:p>
          <w:p w:rsidR="00561A42" w:rsidRDefault="00561A42" w:rsidP="00561A42">
            <w:pPr>
              <w:jc w:val="both"/>
              <w:rPr>
                <w:b/>
              </w:rPr>
            </w:pPr>
          </w:p>
          <w:p w:rsidR="006016DB" w:rsidRPr="0053304B" w:rsidRDefault="006016DB" w:rsidP="00561A42">
            <w:pPr>
              <w:jc w:val="both"/>
              <w:rPr>
                <w:b/>
                <w:spacing w:val="-3"/>
              </w:rPr>
            </w:pPr>
          </w:p>
          <w:p w:rsidR="00561A42" w:rsidRDefault="00561A42" w:rsidP="00561A42">
            <w:pPr>
              <w:snapToGrid w:val="0"/>
              <w:jc w:val="both"/>
              <w:rPr>
                <w:b/>
              </w:rPr>
            </w:pPr>
          </w:p>
          <w:p w:rsidR="006016DB" w:rsidRDefault="006016DB" w:rsidP="004B79C7">
            <w:pPr>
              <w:snapToGrid w:val="0"/>
              <w:jc w:val="both"/>
              <w:rPr>
                <w:b/>
              </w:rPr>
            </w:pPr>
          </w:p>
          <w:p w:rsidR="006016DB" w:rsidRDefault="006016DB" w:rsidP="004B79C7">
            <w:pPr>
              <w:snapToGrid w:val="0"/>
              <w:jc w:val="both"/>
              <w:rPr>
                <w:b/>
              </w:rPr>
            </w:pPr>
          </w:p>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B33ACD" w:rsidRPr="00D850A1" w:rsidRDefault="00B33ACD" w:rsidP="004B79C7">
            <w:pPr>
              <w:tabs>
                <w:tab w:val="left" w:pos="360"/>
              </w:tabs>
              <w:autoSpaceDE w:val="0"/>
            </w:pPr>
          </w:p>
        </w:tc>
        <w:tc>
          <w:tcPr>
            <w:tcW w:w="4677" w:type="dxa"/>
            <w:shd w:val="clear" w:color="auto" w:fill="auto"/>
          </w:tcPr>
          <w:p w:rsidR="00C1426B" w:rsidRPr="00D850A1" w:rsidRDefault="00C1426B" w:rsidP="00C1426B">
            <w:pPr>
              <w:rPr>
                <w:color w:val="000000"/>
              </w:rPr>
            </w:pPr>
          </w:p>
          <w:p w:rsidR="00C1426B" w:rsidRDefault="00C1426B" w:rsidP="00C1426B">
            <w:pPr>
              <w:rPr>
                <w:color w:val="000000"/>
              </w:rPr>
            </w:pPr>
          </w:p>
          <w:p w:rsidR="00C1426B" w:rsidRDefault="00C1426B" w:rsidP="00C1426B">
            <w:pPr>
              <w:rPr>
                <w:color w:val="000000"/>
              </w:rPr>
            </w:pPr>
          </w:p>
          <w:p w:rsidR="00C1426B" w:rsidRDefault="00C1426B" w:rsidP="00C1426B">
            <w:pPr>
              <w:rPr>
                <w:b/>
                <w:color w:val="000000"/>
              </w:rPr>
            </w:pPr>
          </w:p>
          <w:p w:rsidR="00C1426B" w:rsidRPr="00561A42" w:rsidRDefault="00C1426B" w:rsidP="00C1426B">
            <w:pPr>
              <w:jc w:val="both"/>
              <w:rPr>
                <w:b/>
                <w:color w:val="000000"/>
                <w:u w:val="single"/>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B33ACD" w:rsidRPr="00D850A1" w:rsidRDefault="00C1426B" w:rsidP="001D4801">
            <w:pPr>
              <w:jc w:val="both"/>
            </w:pPr>
            <w:r w:rsidRPr="00561A42">
              <w:rPr>
                <w:b/>
                <w:color w:val="000000"/>
              </w:rPr>
              <w:t>___________________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B33ACD" w:rsidRPr="00D850A1" w:rsidRDefault="00B33ACD" w:rsidP="00561A42">
      <w:pPr>
        <w:jc w:val="right"/>
        <w:rPr>
          <w:color w:val="000000"/>
        </w:rPr>
      </w:pPr>
      <w:r w:rsidRPr="00D850A1">
        <w:rPr>
          <w:color w:val="000000"/>
        </w:rP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AB4732">
        <w:rPr>
          <w:color w:val="000000"/>
        </w:rPr>
        <w:t>25</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2E409C" w:rsidRPr="002E409C" w:rsidRDefault="002E409C" w:rsidP="002E409C">
      <w:pPr>
        <w:jc w:val="center"/>
        <w:rPr>
          <w:b/>
          <w:bCs/>
          <w:color w:val="000000"/>
        </w:rPr>
      </w:pPr>
      <w:r w:rsidRPr="002E409C">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2E409C">
        <w:rPr>
          <w:b/>
          <w:bCs/>
          <w:color w:val="000000"/>
        </w:rPr>
        <w:t>«Парковая зона», расположенная по адресу: Республика Крым, р-н Красноперепопский, с. Орловка, ул. Садовая, 33.</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do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722967" w:rsidRPr="00E83AD5">
        <w:rPr>
          <w:rFonts w:ascii="Times New Roman" w:hAnsi="Times New Roman"/>
        </w:rPr>
        <w:t xml:space="preserve">ПУВВ </w:t>
      </w:r>
      <w:r w:rsidR="00722967" w:rsidRPr="008F2FC6">
        <w:rPr>
          <w:rFonts w:ascii="Times New Roman" w:hAnsi="Times New Roman"/>
          <w:sz w:val="24"/>
          <w:szCs w:val="24"/>
        </w:rPr>
        <w:t xml:space="preserve">Республика Крым, </w:t>
      </w:r>
      <w:r w:rsidR="00722967">
        <w:rPr>
          <w:rFonts w:ascii="Times New Roman" w:hAnsi="Times New Roman"/>
          <w:sz w:val="24"/>
          <w:szCs w:val="24"/>
        </w:rPr>
        <w:t>Симферопольский район</w:t>
      </w:r>
      <w:r w:rsidR="00722967">
        <w:rPr>
          <w:rFonts w:ascii="Times New Roman" w:hAnsi="Times New Roman"/>
          <w:color w:val="000000"/>
          <w:sz w:val="24"/>
          <w:szCs w:val="24"/>
        </w:rPr>
        <w:t>, с. Мирное.</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8240AD">
        <w:rPr>
          <w:rFonts w:ascii="Times New Roman" w:hAnsi="Times New Roman"/>
          <w:color w:val="000000" w:themeColor="text1"/>
          <w:sz w:val="24"/>
          <w:szCs w:val="24"/>
        </w:rPr>
        <w:t>20.04</w:t>
      </w:r>
      <w:r w:rsidR="002E409C">
        <w:rPr>
          <w:rFonts w:ascii="Times New Roman" w:hAnsi="Times New Roman"/>
          <w:color w:val="000000" w:themeColor="text1"/>
          <w:sz w:val="24"/>
          <w:szCs w:val="24"/>
        </w:rPr>
        <w:t>.2026</w:t>
      </w:r>
      <w:r w:rsidR="00975852" w:rsidRPr="00975852">
        <w:rPr>
          <w:rFonts w:ascii="Times New Roman" w:hAnsi="Times New Roman"/>
          <w:color w:val="000000" w:themeColor="text1"/>
          <w:sz w:val="24"/>
          <w:szCs w:val="24"/>
        </w:rPr>
        <w:t xml:space="preserve">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lastRenderedPageBreak/>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6016DB" w:rsidRPr="00D850A1" w:rsidTr="000D6742">
        <w:trPr>
          <w:trHeight w:val="242"/>
        </w:trPr>
        <w:tc>
          <w:tcPr>
            <w:tcW w:w="6000" w:type="dxa"/>
            <w:noWrap/>
            <w:vAlign w:val="center"/>
            <w:hideMark/>
          </w:tcPr>
          <w:p w:rsidR="006016DB" w:rsidRPr="00D850A1" w:rsidRDefault="006016DB" w:rsidP="006016DB">
            <w:pPr>
              <w:rPr>
                <w:b/>
                <w:bCs/>
                <w:color w:val="000000"/>
              </w:rPr>
            </w:pPr>
            <w:r w:rsidRPr="00D850A1">
              <w:rPr>
                <w:b/>
                <w:bCs/>
                <w:color w:val="000000"/>
              </w:rPr>
              <w:t>ГУП РК «ВОДА КРЫМА»</w:t>
            </w:r>
          </w:p>
        </w:tc>
        <w:tc>
          <w:tcPr>
            <w:tcW w:w="4825" w:type="dxa"/>
            <w:noWrap/>
            <w:vAlign w:val="center"/>
            <w:hideMark/>
          </w:tcPr>
          <w:p w:rsidR="006016DB" w:rsidRPr="00E71A51" w:rsidRDefault="006016DB" w:rsidP="006016DB">
            <w:pPr>
              <w:ind w:hanging="28"/>
              <w:rPr>
                <w:b/>
                <w:bCs/>
                <w:color w:val="000000"/>
              </w:rPr>
            </w:pPr>
          </w:p>
        </w:tc>
      </w:tr>
      <w:tr w:rsidR="006016DB" w:rsidRPr="00D850A1" w:rsidTr="000D6742">
        <w:trPr>
          <w:trHeight w:val="242"/>
        </w:trPr>
        <w:tc>
          <w:tcPr>
            <w:tcW w:w="6000" w:type="dxa"/>
            <w:noWrap/>
            <w:vAlign w:val="bottom"/>
            <w:hideMark/>
          </w:tcPr>
          <w:p w:rsidR="006016DB" w:rsidRPr="00D850A1" w:rsidRDefault="006016DB" w:rsidP="006016DB"/>
        </w:tc>
        <w:tc>
          <w:tcPr>
            <w:tcW w:w="4825" w:type="dxa"/>
            <w:noWrap/>
            <w:vAlign w:val="bottom"/>
            <w:hideMark/>
          </w:tcPr>
          <w:p w:rsidR="006016DB" w:rsidRPr="00D850A1" w:rsidRDefault="006016DB" w:rsidP="006016DB">
            <w:pPr>
              <w:ind w:hanging="28"/>
            </w:pPr>
          </w:p>
        </w:tc>
      </w:tr>
      <w:tr w:rsidR="006016DB" w:rsidRPr="00D850A1" w:rsidTr="000D6742">
        <w:trPr>
          <w:trHeight w:val="1195"/>
        </w:trPr>
        <w:tc>
          <w:tcPr>
            <w:tcW w:w="600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D850A1" w:rsidRDefault="006016DB" w:rsidP="006016DB">
            <w:pPr>
              <w:tabs>
                <w:tab w:val="left" w:pos="360"/>
              </w:tabs>
              <w:autoSpaceDE w:val="0"/>
              <w:rPr>
                <w:color w:val="000000"/>
              </w:rPr>
            </w:pPr>
          </w:p>
        </w:tc>
        <w:tc>
          <w:tcPr>
            <w:tcW w:w="4825" w:type="dxa"/>
            <w:noWrap/>
            <w:hideMark/>
          </w:tcPr>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333FAE">
        <w:t>25</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2"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3"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6016DB" w:rsidRPr="006C18F1" w:rsidTr="000D6742">
        <w:trPr>
          <w:trHeight w:val="315"/>
        </w:trPr>
        <w:tc>
          <w:tcPr>
            <w:tcW w:w="8080" w:type="dxa"/>
            <w:noWrap/>
            <w:vAlign w:val="center"/>
            <w:hideMark/>
          </w:tcPr>
          <w:p w:rsidR="006016DB" w:rsidRPr="006C18F1" w:rsidRDefault="006016DB" w:rsidP="006016DB">
            <w:pPr>
              <w:rPr>
                <w:b/>
                <w:bCs/>
                <w:color w:val="000000"/>
              </w:rPr>
            </w:pPr>
            <w:r w:rsidRPr="006C18F1">
              <w:rPr>
                <w:b/>
                <w:bCs/>
                <w:color w:val="000000"/>
              </w:rPr>
              <w:t>ГУП РК «ВОДА КРЫМА»</w:t>
            </w:r>
          </w:p>
        </w:tc>
        <w:tc>
          <w:tcPr>
            <w:tcW w:w="7088" w:type="dxa"/>
            <w:noWrap/>
            <w:vAlign w:val="center"/>
            <w:hideMark/>
          </w:tcPr>
          <w:p w:rsidR="006016DB" w:rsidRPr="00E71A51" w:rsidRDefault="006016DB" w:rsidP="006016DB">
            <w:pPr>
              <w:ind w:hanging="28"/>
              <w:rPr>
                <w:b/>
                <w:bCs/>
                <w:color w:val="000000"/>
              </w:rPr>
            </w:pPr>
          </w:p>
        </w:tc>
      </w:tr>
      <w:tr w:rsidR="006016DB" w:rsidRPr="00CA33B1" w:rsidTr="000D6742">
        <w:trPr>
          <w:trHeight w:val="315"/>
        </w:trPr>
        <w:tc>
          <w:tcPr>
            <w:tcW w:w="8080" w:type="dxa"/>
            <w:noWrap/>
            <w:vAlign w:val="bottom"/>
            <w:hideMark/>
          </w:tcPr>
          <w:p w:rsidR="006016DB" w:rsidRPr="00CA33B1" w:rsidRDefault="006016DB" w:rsidP="006016DB">
            <w:pPr>
              <w:rPr>
                <w:sz w:val="20"/>
                <w:szCs w:val="20"/>
              </w:rPr>
            </w:pPr>
          </w:p>
        </w:tc>
        <w:tc>
          <w:tcPr>
            <w:tcW w:w="7088" w:type="dxa"/>
            <w:noWrap/>
            <w:vAlign w:val="bottom"/>
            <w:hideMark/>
          </w:tcPr>
          <w:p w:rsidR="006016DB" w:rsidRPr="00D850A1" w:rsidRDefault="006016DB" w:rsidP="006016DB">
            <w:pPr>
              <w:ind w:hanging="28"/>
            </w:pPr>
          </w:p>
        </w:tc>
      </w:tr>
      <w:tr w:rsidR="006016DB" w:rsidRPr="00CA33B1" w:rsidTr="000D6742">
        <w:trPr>
          <w:trHeight w:val="990"/>
        </w:trPr>
        <w:tc>
          <w:tcPr>
            <w:tcW w:w="808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CA33B1" w:rsidRDefault="006016DB" w:rsidP="006016DB">
            <w:pPr>
              <w:rPr>
                <w:color w:val="000000"/>
              </w:rPr>
            </w:pPr>
          </w:p>
        </w:tc>
        <w:tc>
          <w:tcPr>
            <w:tcW w:w="7088"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Pr>
                <w:b/>
                <w:color w:val="000000"/>
              </w:rPr>
              <w:t xml:space="preserve"> </w:t>
            </w:r>
            <w:r w:rsidR="001D4801">
              <w:rPr>
                <w:b/>
                <w:color w:val="000000"/>
              </w:rPr>
              <w:t>_____________</w:t>
            </w:r>
            <w:r>
              <w:rPr>
                <w:b/>
                <w:color w:val="000000"/>
              </w:rPr>
              <w:t>/</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0C3" w:rsidRDefault="001470C3">
      <w:r>
        <w:separator/>
      </w:r>
    </w:p>
  </w:endnote>
  <w:endnote w:type="continuationSeparator" w:id="0">
    <w:p w:rsidR="001470C3" w:rsidRDefault="0014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0C3" w:rsidRDefault="001470C3">
      <w:r>
        <w:separator/>
      </w:r>
    </w:p>
  </w:footnote>
  <w:footnote w:type="continuationSeparator" w:id="0">
    <w:p w:rsidR="001470C3" w:rsidRDefault="00147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54BD"/>
    <w:rsid w:val="0079663F"/>
    <w:rsid w:val="007970E7"/>
    <w:rsid w:val="007A4528"/>
    <w:rsid w:val="007A63A0"/>
    <w:rsid w:val="007B116A"/>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896C50"/>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allto:2%2042.21.24.110"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Relationship Target="media/Image1.jpeg" Type="http://schemas.openxmlformats.org/officeDocument/2006/relationships/image" Id="rId1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384D-9A1B-46EE-80BB-978286FC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6550</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43798</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cp:revision>
  <cp:lastPrinted>2025-12-08T12:13:00Z</cp:lastPrinted>
  <dcterms:created xsi:type="dcterms:W3CDTF">2026-03-02T06:45:00Z</dcterms:created>
  <dcterms:modified xsi:type="dcterms:W3CDTF">2026-03-02T06:49:00Z</dcterms:modified>
</cp:coreProperties>
</file>