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numPr>
          <w:ilvl w:val="0"/>
          <w:numId w:val="0"/>
        </w:numPr>
        <w:suppressAutoHyphens w:val="false"/>
        <w:spacing w:beforeAutospacing="1" w:afterAutospacing="1"/>
        <w:ind w:firstLine="709"/>
        <w:jc w:val="both"/>
        <w:outlineLvl w:val="0"/>
        <w:rPr>
          <w:b/>
          <w:b/>
          <w:bCs/>
          <w:kern w:val="2"/>
          <w:lang w:eastAsia="ru-RU"/>
        </w:rPr>
      </w:pPr>
      <w:r>
        <w:rPr>
          <w:b/>
          <w:bCs/>
          <w:kern w:val="2"/>
          <w:lang w:eastAsia="ru-RU"/>
        </w:rPr>
        <w:t xml:space="preserve">Для заключения договора о подключении к заявлению о подключении в соответствии с требованиями п. 26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30.11.2021 № 2130 (далее </w:t>
      </w:r>
      <w:r>
        <w:rPr>
          <w:rFonts w:eastAsia="Symbol" w:cs="Symbol" w:ascii="Symbol" w:hAnsi="Symbol"/>
          <w:b/>
          <w:bCs/>
          <w:kern w:val="2"/>
          <w:lang w:eastAsia="ru-RU"/>
        </w:rPr>
        <w:t></w:t>
      </w:r>
      <w:r>
        <w:rPr>
          <w:b/>
          <w:bCs/>
          <w:kern w:val="2"/>
          <w:lang w:eastAsia="ru-RU"/>
        </w:rPr>
        <w:t xml:space="preserve"> Правила) </w:t>
      </w:r>
      <w:r>
        <w:rPr>
          <w:b/>
        </w:rPr>
        <w:t>прилагаются следующие документы:</w:t>
      </w:r>
    </w:p>
    <w:p>
      <w:pPr>
        <w:pStyle w:val="NormalWeb"/>
        <w:numPr>
          <w:ilvl w:val="0"/>
          <w:numId w:val="1"/>
        </w:numPr>
        <w:spacing w:before="280" w:after="0"/>
        <w:ind w:left="0" w:hanging="11"/>
        <w:jc w:val="both"/>
        <w:rPr/>
      </w:pPr>
      <w:r>
        <w:rPr/>
        <w:t xml:space="preserve">копии учредительных документов (для физических лиц </w:t>
      </w:r>
      <w:r>
        <w:rPr>
          <w:rFonts w:eastAsia="Symbol" w:cs="Symbol" w:ascii="Symbol" w:hAnsi="Symbol"/>
        </w:rPr>
        <w:t></w:t>
      </w:r>
      <w:r>
        <w:rPr/>
        <w:t xml:space="preserve"> копия паспорта или иного документа, удостоверяющего личность), а также документы, подтверждающие полномочия лица, подписавшего заявление;</w:t>
      </w:r>
    </w:p>
    <w:p>
      <w:pPr>
        <w:pStyle w:val="NormalWeb"/>
        <w:numPr>
          <w:ilvl w:val="0"/>
          <w:numId w:val="1"/>
        </w:numPr>
        <w:spacing w:before="280" w:after="0"/>
        <w:ind w:left="0" w:hanging="11"/>
        <w:jc w:val="both"/>
        <w:rPr/>
      </w:pPr>
      <w:r>
        <w:rPr/>
        <w:t>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w:t>
      </w:r>
    </w:p>
    <w:p>
      <w:pPr>
        <w:pStyle w:val="NormalWeb"/>
        <w:numPr>
          <w:ilvl w:val="0"/>
          <w:numId w:val="1"/>
        </w:numPr>
        <w:spacing w:before="280" w:after="0"/>
        <w:ind w:left="0" w:hanging="11"/>
        <w:jc w:val="both"/>
        <w:rPr/>
      </w:pPr>
      <w:r>
        <w:rPr/>
        <w:t xml:space="preserve">копии правоустанавливающих и правоудостоверяющих документов* на подключаемый объект, ранее построенный и введенный в эксплуатацию, а для строящихся объектов </w:t>
      </w:r>
      <w:r>
        <w:rPr>
          <w:rFonts w:eastAsia="Symbol" w:cs="Symbol" w:ascii="Symbol" w:hAnsi="Symbol"/>
        </w:rPr>
        <w:t></w:t>
      </w:r>
      <w:r>
        <w:rPr/>
        <w:t xml:space="preserve"> копия разрешения на строительство (за исключением объектов,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w:t>
      </w:r>
    </w:p>
    <w:p>
      <w:pPr>
        <w:pStyle w:val="NormalWeb"/>
        <w:numPr>
          <w:ilvl w:val="0"/>
          <w:numId w:val="1"/>
        </w:numPr>
        <w:spacing w:before="280" w:after="0"/>
        <w:ind w:left="0" w:hanging="11"/>
        <w:jc w:val="both"/>
        <w:rPr/>
      </w:pPr>
      <w:r>
        <w:rPr/>
        <w:t>ситуационный план расположения объекта с привязкой к территории населенного пункта;</w:t>
      </w:r>
    </w:p>
    <w:p>
      <w:pPr>
        <w:pStyle w:val="NormalWeb"/>
        <w:numPr>
          <w:ilvl w:val="0"/>
          <w:numId w:val="1"/>
        </w:numPr>
        <w:spacing w:beforeAutospacing="0" w:before="0" w:afterAutospacing="0" w:after="0"/>
        <w:ind w:left="0" w:hanging="11"/>
        <w:jc w:val="both"/>
        <w:rPr/>
      </w:pPr>
      <w:r>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pPr>
        <w:pStyle w:val="Normal"/>
        <w:suppressAutoHyphens w:val="false"/>
        <w:ind w:firstLine="709"/>
        <w:rPr/>
      </w:pPr>
      <w:r>
        <w:rPr>
          <w:rFonts w:eastAsia="Symbol" w:cs="Symbol" w:ascii="Symbol" w:hAnsi="Symbol"/>
        </w:rPr>
        <w:t></w:t>
      </w:r>
      <w:r>
        <w:rPr/>
        <w:t xml:space="preserve"> </w:t>
      </w:r>
      <w:hyperlink r:id="rId2" w:tgtFrame="_blank">
        <w:r>
          <w:rPr>
            <w:rStyle w:val="InternetLink"/>
            <w:color w:val="auto"/>
            <w:u w:val="none"/>
          </w:rPr>
          <w:t>ГУП РК «Крымгазсети»</w:t>
        </w:r>
      </w:hyperlink>
    </w:p>
    <w:p>
      <w:pPr>
        <w:pStyle w:val="Normal"/>
        <w:suppressAutoHyphens w:val="false"/>
        <w:ind w:firstLine="709"/>
        <w:rPr/>
      </w:pPr>
      <w:r>
        <w:rPr>
          <w:rFonts w:eastAsia="Symbol" w:cs="Symbol" w:ascii="Symbol" w:hAnsi="Symbol"/>
        </w:rPr>
        <w:t></w:t>
      </w:r>
      <w:r>
        <w:rPr/>
        <w:t xml:space="preserve"> </w:t>
      </w:r>
      <w:hyperlink r:id="rId3" w:tgtFrame="_blank">
        <w:r>
          <w:rPr>
            <w:rStyle w:val="InternetLink"/>
            <w:color w:val="auto"/>
            <w:u w:val="none"/>
          </w:rPr>
          <w:t>ГУП РК «Вода Крыма»</w:t>
        </w:r>
      </w:hyperlink>
    </w:p>
    <w:p>
      <w:pPr>
        <w:pStyle w:val="Normal"/>
        <w:suppressAutoHyphens w:val="false"/>
        <w:ind w:firstLine="709"/>
        <w:rPr/>
      </w:pPr>
      <w:r>
        <w:rPr>
          <w:rFonts w:eastAsia="Symbol" w:cs="Symbol" w:ascii="Symbol" w:hAnsi="Symbol"/>
        </w:rPr>
        <w:t></w:t>
      </w:r>
      <w:r>
        <w:rPr/>
        <w:t xml:space="preserve"> </w:t>
      </w:r>
      <w:hyperlink r:id="rId4" w:tgtFrame="_blank">
        <w:r>
          <w:rPr>
            <w:rStyle w:val="InternetLink"/>
            <w:color w:val="auto"/>
            <w:u w:val="none"/>
          </w:rPr>
          <w:t>ГУП РК «Крымэнерго»</w:t>
        </w:r>
      </w:hyperlink>
    </w:p>
    <w:p>
      <w:pPr>
        <w:pStyle w:val="Normal"/>
        <w:suppressAutoHyphens w:val="false"/>
        <w:ind w:firstLine="709"/>
        <w:rPr/>
      </w:pPr>
      <w:r>
        <w:rPr>
          <w:rFonts w:eastAsia="Symbol" w:cs="Symbol" w:ascii="Symbol" w:hAnsi="Symbol"/>
        </w:rPr>
        <w:t></w:t>
      </w:r>
      <w:r>
        <w:rPr/>
        <w:t xml:space="preserve"> </w:t>
      </w:r>
      <w:hyperlink r:id="rId5" w:tgtFrame="_blank">
        <w:r>
          <w:rPr>
            <w:rStyle w:val="InternetLink"/>
            <w:color w:val="auto"/>
            <w:u w:val="none"/>
          </w:rPr>
          <w:t>ГУП РК «Крымтеплокомунэнерго»</w:t>
        </w:r>
      </w:hyperlink>
    </w:p>
    <w:p>
      <w:pPr>
        <w:pStyle w:val="Normal"/>
        <w:suppressAutoHyphens w:val="false"/>
        <w:ind w:firstLine="709"/>
        <w:rPr/>
      </w:pPr>
      <w:r>
        <w:rPr>
          <w:rFonts w:eastAsia="Symbol" w:cs="Symbol" w:ascii="Symbol" w:hAnsi="Symbol"/>
        </w:rPr>
        <w:t></w:t>
      </w:r>
      <w:r>
        <w:rPr/>
        <w:t xml:space="preserve"> </w:t>
      </w:r>
      <w:hyperlink r:id="rId6" w:tgtFrame="_blank">
        <w:r>
          <w:rPr>
            <w:rStyle w:val="InternetLink"/>
            <w:color w:val="auto"/>
            <w:u w:val="none"/>
          </w:rPr>
          <w:t>ГУП РК «Крымтелеком»</w:t>
        </w:r>
      </w:hyperlink>
    </w:p>
    <w:p>
      <w:pPr>
        <w:pStyle w:val="NormalWeb"/>
        <w:numPr>
          <w:ilvl w:val="0"/>
          <w:numId w:val="1"/>
        </w:numPr>
        <w:spacing w:beforeAutospacing="0" w:before="0" w:after="0"/>
        <w:ind w:left="0" w:hanging="11"/>
        <w:jc w:val="both"/>
        <w:rPr/>
      </w:pPr>
      <w:r>
        <w:rPr/>
        <w:t>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p>
    <w:p>
      <w:pPr>
        <w:pStyle w:val="NormalWeb"/>
        <w:numPr>
          <w:ilvl w:val="0"/>
          <w:numId w:val="1"/>
        </w:numPr>
        <w:spacing w:before="280" w:after="0"/>
        <w:ind w:left="0" w:hanging="11"/>
        <w:jc w:val="both"/>
        <w:rPr/>
      </w:pPr>
      <w:r>
        <w:rPr/>
        <w:t xml:space="preserve">градостроительный план земельного участка, а при подключении водопроводных и канализационных сетей </w:t>
      </w:r>
      <w:r>
        <w:rPr>
          <w:rFonts w:eastAsia="Symbol" w:cs="Symbol" w:ascii="Symbol" w:hAnsi="Symbol"/>
        </w:rPr>
        <w:t></w:t>
      </w:r>
      <w:r>
        <w:rPr/>
        <w:t xml:space="preserve">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pPr>
        <w:pStyle w:val="ListParagraph"/>
        <w:numPr>
          <w:ilvl w:val="0"/>
          <w:numId w:val="1"/>
        </w:numPr>
        <w:spacing w:before="0" w:after="0"/>
        <w:ind w:left="0" w:hanging="11"/>
        <w:contextualSpacing/>
        <w:jc w:val="both"/>
        <w:rPr>
          <w:rFonts w:ascii="Times New Roman" w:hAnsi="Times New Roman" w:cs="Times New Roman"/>
          <w:sz w:val="24"/>
        </w:rPr>
      </w:pPr>
      <w:r>
        <w:rPr>
          <w:rFonts w:cs="Times New Roman" w:ascii="Times New Roman" w:hAnsi="Times New Roman"/>
          <w:sz w:val="24"/>
        </w:rPr>
        <w:t>согласие от всех участников долевой собственности в случае владения имуществом, находящемся в долевой собственности;</w:t>
      </w:r>
    </w:p>
    <w:p>
      <w:pPr>
        <w:pStyle w:val="NormalWeb"/>
        <w:numPr>
          <w:ilvl w:val="0"/>
          <w:numId w:val="1"/>
        </w:numPr>
        <w:spacing w:before="0" w:afterAutospacing="0" w:after="0"/>
        <w:ind w:left="0" w:hanging="11"/>
        <w:jc w:val="both"/>
        <w:rPr/>
      </w:pPr>
      <w:r>
        <w:rPr/>
        <w:t>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(при обращении с заявлением о подключении лиц, указанных в подпункте "в" пункта 9 Правил);</w:t>
      </w:r>
    </w:p>
    <w:p>
      <w:pPr>
        <w:pStyle w:val="NormalWeb"/>
        <w:numPr>
          <w:ilvl w:val="0"/>
          <w:numId w:val="1"/>
        </w:numPr>
        <w:ind w:left="0" w:hanging="11"/>
        <w:jc w:val="both"/>
        <w:rPr/>
      </w:pPr>
      <w:r>
        <w:rPr/>
        <w:t>копии решения о предварительном согласовании предоставления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подпункте "г" пункта 9 настоящих Правил).</w:t>
      </w:r>
    </w:p>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0"/>
          <w:szCs w:val="20"/>
        </w:rPr>
        <w:t xml:space="preserve">*При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w:t>
      </w:r>
      <w:r>
        <w:rPr>
          <w:rFonts w:cs="Times New Roman" w:ascii="Times New Roman" w:hAnsi="Times New Roman"/>
          <w:b/>
          <w:sz w:val="20"/>
          <w:szCs w:val="20"/>
        </w:rPr>
        <w:t>не ранее чем за 30 календарных дней</w:t>
      </w:r>
      <w:r>
        <w:rPr>
          <w:rFonts w:cs="Times New Roman" w:ascii="Times New Roman" w:hAnsi="Times New Roman"/>
          <w:sz w:val="20"/>
          <w:szCs w:val="20"/>
        </w:rPr>
        <w:t xml:space="preserve"> до дня направления заявления о подключении.</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pPr>
      <w:r>
        <w:rPr>
          <w:rFonts w:cs="Times New Roman" w:ascii="Times New Roman" w:hAnsi="Times New Roman"/>
          <w:sz w:val="24"/>
          <w:szCs w:val="24"/>
        </w:rPr>
        <w:t xml:space="preserve">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0d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zh-CN" w:val="ru-RU" w:bidi="ar-SA"/>
    </w:rPr>
  </w:style>
  <w:style w:type="paragraph" w:styleId="Heading1">
    <w:name w:val="Heading 1"/>
    <w:basedOn w:val="Normal"/>
    <w:link w:val="10"/>
    <w:uiPriority w:val="9"/>
    <w:qFormat/>
    <w:rsid w:val="00600d7d"/>
    <w:pPr>
      <w:suppressAutoHyphens w:val="false"/>
      <w:spacing w:beforeAutospacing="1" w:afterAutospacing="1"/>
      <w:outlineLvl w:val="0"/>
    </w:pPr>
    <w:rPr>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link w:val="a3"/>
    <w:qFormat/>
    <w:rsid w:val="00600d7d"/>
    <w:rPr>
      <w:rFonts w:ascii="Times New Roman" w:hAnsi="Times New Roman" w:eastAsia="Times New Roman" w:cs="Times New Roman"/>
      <w:sz w:val="24"/>
      <w:szCs w:val="24"/>
      <w:lang w:eastAsia="zh-CN"/>
    </w:rPr>
  </w:style>
  <w:style w:type="character" w:styleId="1" w:customStyle="1">
    <w:name w:val="Заголовок 1 Знак"/>
    <w:basedOn w:val="DefaultParagraphFont"/>
    <w:link w:val="1"/>
    <w:uiPriority w:val="9"/>
    <w:qFormat/>
    <w:rsid w:val="00600d7d"/>
    <w:rPr>
      <w:rFonts w:ascii="Times New Roman" w:hAnsi="Times New Roman" w:eastAsia="Times New Roman" w:cs="Times New Roman"/>
      <w:b/>
      <w:bCs/>
      <w:kern w:val="2"/>
      <w:sz w:val="48"/>
      <w:szCs w:val="48"/>
      <w:lang w:eastAsia="ru-RU"/>
    </w:rPr>
  </w:style>
  <w:style w:type="character" w:styleId="InternetLink">
    <w:name w:val="Internet Link"/>
    <w:basedOn w:val="DefaultParagraphFont"/>
    <w:uiPriority w:val="99"/>
    <w:semiHidden/>
    <w:unhideWhenUsed/>
    <w:rsid w:val="00600d7d"/>
    <w:rPr>
      <w:color w:val="0000FF"/>
      <w:u w:val="singl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color w:val="auto"/>
      <w:u w:val="non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link w:val="a4"/>
    <w:rsid w:val="00600d7d"/>
    <w:pPr>
      <w:tabs>
        <w:tab w:val="clear" w:pos="708"/>
        <w:tab w:val="center" w:pos="4677" w:leader="none"/>
        <w:tab w:val="right" w:pos="9355" w:leader="none"/>
      </w:tabs>
    </w:pPr>
    <w:rPr/>
  </w:style>
  <w:style w:type="paragraph" w:styleId="NormalWeb">
    <w:name w:val="Normal (Web)"/>
    <w:basedOn w:val="Normal"/>
    <w:uiPriority w:val="99"/>
    <w:unhideWhenUsed/>
    <w:qFormat/>
    <w:rsid w:val="00600d7d"/>
    <w:pPr>
      <w:suppressAutoHyphens w:val="false"/>
      <w:spacing w:beforeAutospacing="1" w:afterAutospacing="1"/>
    </w:pPr>
    <w:rPr>
      <w:lang w:eastAsia="ru-RU"/>
    </w:rPr>
  </w:style>
  <w:style w:type="paragraph" w:styleId="ListParagraph">
    <w:name w:val="List Paragraph"/>
    <w:basedOn w:val="Normal"/>
    <w:uiPriority w:val="34"/>
    <w:qFormat/>
    <w:rsid w:val="008f0a8f"/>
    <w:pPr>
      <w:suppressAutoHyphens w:val="false"/>
      <w:spacing w:lineRule="auto" w:line="259" w:before="0" w:after="160"/>
      <w:ind w:left="720" w:hanging="0"/>
      <w:contextualSpacing/>
    </w:pPr>
    <w:rPr>
      <w:rFonts w:ascii="Calibri" w:hAnsi="Calibri" w:eastAsia="Calibri" w:cs="" w:asciiTheme="minorHAnsi" w:cstheme="minorBidi" w:eastAsiaTheme="minorHAnsi" w:hAnsiTheme="minorHAnsi"/>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s.crimea.com/" TargetMode="External"/><Relationship Id="rId3" Type="http://schemas.openxmlformats.org/officeDocument/2006/relationships/hyperlink" Target="http://voda.crimea.ru/" TargetMode="External"/><Relationship Id="rId4" Type="http://schemas.openxmlformats.org/officeDocument/2006/relationships/hyperlink" Target="http://gup-krymenergo.crimea.ru/" TargetMode="External"/><Relationship Id="rId5" Type="http://schemas.openxmlformats.org/officeDocument/2006/relationships/hyperlink" Target="http://tce.crimea.com/" TargetMode="External"/><Relationship Id="rId6" Type="http://schemas.openxmlformats.org/officeDocument/2006/relationships/hyperlink" Target="https://ktkru.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LibreOffice/6.1.2.1$Linux_X86_64 LibreOffice_project/65905a128db06ba48db947242809d14d3f9a93fe</Application>
  <Pages>2</Pages>
  <Words>524</Words>
  <Characters>3918</Characters>
  <CharactersWithSpaces>4416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2022-03-04T06:08:00Z</dcterms:created>
  <dc:creator>user</dc:creator>
  <dc:description/>
  <dc:language>ru-RU</dc:language>
  <cp:lastModifiedBy>Dray Piper</cp:lastModifiedBy>
  <dcterms:modified xsi:type="dcterms:W3CDTF">2022-03-14T11:34:02Z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